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0"/>
      </w:tblGrid>
      <w:tr w:rsidR="0054440E" w:rsidRPr="0054440E" w:rsidTr="0054440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54440E" w:rsidRPr="0054440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4440E" w:rsidRPr="0054440E" w:rsidRDefault="0054440E" w:rsidP="0054440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54440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Mayıs 2020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4440E" w:rsidRPr="0054440E" w:rsidRDefault="0054440E" w:rsidP="0054440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54440E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4440E" w:rsidRPr="0054440E" w:rsidRDefault="0054440E" w:rsidP="0054440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54440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54440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31139</w:t>
                  </w:r>
                </w:p>
              </w:tc>
            </w:tr>
            <w:tr w:rsidR="0054440E" w:rsidRPr="0054440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4440E" w:rsidRPr="0054440E" w:rsidRDefault="0054440E" w:rsidP="005444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54440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54440E" w:rsidRPr="0054440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54440E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5444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DE1B1F" w:rsidRPr="0054440E" w:rsidRDefault="00DE1B1F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:rsidR="0054440E" w:rsidRPr="0054440E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5444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DAHİLDE İŞLEME REJİMİ TEBLİĞİ (İHRACAT: 2006/12)’NDE DEĞİŞİKLİK</w:t>
                  </w:r>
                </w:p>
                <w:p w:rsidR="0054440E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5444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YAPILMASINA DAİR TEBLİĞ (İHRACAT: 2020/10)</w:t>
                  </w:r>
                </w:p>
                <w:p w:rsidR="00DE1B1F" w:rsidRPr="0054440E" w:rsidRDefault="00DE1B1F" w:rsidP="0054440E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MADDE 1 ‒</w:t>
                  </w: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20/12/2006 tarihli ve 26382 sayılı Resmî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Gazete’de</w:t>
                  </w:r>
                  <w:proofErr w:type="spell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yayımlanan Dahilde İşleme Rejimi Tebliği (İhracat:2006/12)’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nin</w:t>
                  </w:r>
                  <w:proofErr w:type="spell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gram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17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nci</w:t>
                  </w:r>
                  <w:proofErr w:type="spellEnd"/>
                  <w:proofErr w:type="gram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maddesinin dokuzuncu ve onuncu fıkraları aşağıdaki şekilde değiştirilmiştir.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“(9) Dahilde işleme izin belgesi kapsamında döviz kullanım oranı </w:t>
                  </w:r>
                  <w:bookmarkStart w:id="0" w:name="_Hlk41634924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%80’i geçmemek üzere Bakanlıkça belirleni</w:t>
                  </w:r>
                  <w:bookmarkEnd w:id="0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r. </w:t>
                  </w:r>
                  <w:bookmarkStart w:id="1" w:name="_Hlk41635052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Ancak, ikincil işlem görmüş tarım ürünleri taahhüdü içeren belgelerde bu oran Bakanlıkça azami %100 olarak tespit edilebilir</w:t>
                  </w:r>
                  <w:bookmarkEnd w:id="1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.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(10) </w:t>
                  </w:r>
                  <w:bookmarkStart w:id="2" w:name="_Hlk41636015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Bakanlık uluslararası emtia piyasalarındaki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konjonktürel</w:t>
                  </w:r>
                  <w:proofErr w:type="spell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fiyat dalgalanmalarından dolayı dokuzuncu fıkrada belirtilen azami oranları dönemsel veya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sektörel</w:t>
                  </w:r>
                  <w:proofErr w:type="spell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olarak yükseltmeye yetkilidir.</w:t>
                  </w:r>
                  <w:bookmarkEnd w:id="2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Bu durumda, 45 inci maddenin dördüncü fıkrasının (b) bendinin tatbikinde, belirlenen yeni döviz kullanım oranı esas alınır.”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MADDE 2 ‒ </w:t>
                  </w: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Aynı Tebliğe geçici </w:t>
                  </w:r>
                  <w:proofErr w:type="gram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34 üncü</w:t>
                  </w:r>
                  <w:proofErr w:type="gram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maddeden sonra gelmek üzere aşağıdaki geçici madde eklenmiştir.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“</w:t>
                  </w:r>
                  <w:r w:rsidRPr="00DE1B1F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Döviz kullanım oranına ilişkin geçici uygulama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GEÇİCİ MADDE 35 ‒ </w:t>
                  </w: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(1) Bu Tebliğin </w:t>
                  </w:r>
                  <w:proofErr w:type="gram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17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nci</w:t>
                  </w:r>
                  <w:proofErr w:type="spellEnd"/>
                  <w:proofErr w:type="gramEnd"/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maddesinin dokuzuncu fıkrası hükmü bu maddenin yürürlüğe girdiği tarihten sonra düzenlenen dâhilde işleme izin belgeleri için uygulanır.”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MADDE 3 ‒ </w:t>
                  </w: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Bu Tebliğ yayımı tarihinde yürürlüğe girer.</w:t>
                  </w:r>
                </w:p>
                <w:p w:rsidR="0054440E" w:rsidRPr="00DE1B1F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MADDE 4 ‒ </w:t>
                  </w:r>
                  <w:r w:rsidRPr="00DE1B1F">
                    <w:rPr>
                      <w:rFonts w:ascii="Times New Roman" w:eastAsia="Times New Roman" w:hAnsi="Times New Roman" w:cs="Times New Roman"/>
                      <w:lang w:eastAsia="tr-TR"/>
                    </w:rPr>
                    <w:t>Bu Tebliğ hükümlerini Ticaret Bakanı yürütür.</w:t>
                  </w:r>
                </w:p>
                <w:p w:rsidR="00DE1B1F" w:rsidRDefault="00DE1B1F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DE1B1F" w:rsidRDefault="00DE1B1F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DE1B1F" w:rsidRDefault="00DE1B1F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sz w:val="20"/>
                      <w:szCs w:val="20"/>
                      <w:u w:val="single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sz w:val="20"/>
                      <w:szCs w:val="20"/>
                      <w:u w:val="single"/>
                      <w:lang w:eastAsia="tr-TR"/>
                    </w:rPr>
                    <w:t>İlgili fıkraların değişiklikten önceki halleri aşağıd</w:t>
                  </w:r>
                  <w:r w:rsidR="00EA27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sz w:val="20"/>
                      <w:szCs w:val="20"/>
                      <w:u w:val="single"/>
                      <w:lang w:eastAsia="tr-TR"/>
                    </w:rPr>
                    <w:t>adır.</w:t>
                  </w:r>
                </w:p>
                <w:p w:rsidR="00DE1B1F" w:rsidRPr="00DE1B1F" w:rsidRDefault="00DE1B1F" w:rsidP="0054440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sz w:val="20"/>
                      <w:szCs w:val="20"/>
                      <w:u w:val="single"/>
                      <w:lang w:eastAsia="tr-TR"/>
                    </w:rPr>
                  </w:pPr>
                </w:p>
                <w:p w:rsidR="00DE1B1F" w:rsidRDefault="00DE1B1F" w:rsidP="00DE1B1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</w:pPr>
                  <w:r w:rsidRPr="00EA27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sz w:val="20"/>
                      <w:szCs w:val="20"/>
                      <w:lang w:eastAsia="tr-TR"/>
                    </w:rPr>
                    <w:t>(</w:t>
                  </w:r>
                  <w:r w:rsidRPr="00EA27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lang w:eastAsia="tr-TR"/>
                    </w:rPr>
                    <w:t>9)</w:t>
                  </w:r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 </w:t>
                  </w:r>
                  <w:r w:rsidRPr="00EA27B2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Dahilde işleme izin belgesi kapsamında döviz kullanım oranı </w:t>
                  </w:r>
                  <w:r w:rsidRPr="00EA27B2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highlight w:val="yellow"/>
                      <w:lang w:eastAsia="tr-TR"/>
                    </w:rPr>
                    <w:t>otomotiv sektöründe düzenlenen belgeler için azami %65, deri ve deri mamulleri ile çimento, cam, toprak ve seramik ürünleri sektöründe düzenlenen belgeler için azami %60, tekstil ürünleri sektöründe düzenlenen belgeler için azami %65, konfeksiyon ve orman ürünleri sektöründe düzenlenen belgeler için azami %70, bunun dışında kalan sektörler için azami %80’dir</w:t>
                  </w:r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. Ancak, ikincil işlem görmüş tarım ürünleri taahhüdü içeren belgelerde bu oran azami %100 olarak tespit edilebilir. </w:t>
                  </w:r>
                </w:p>
                <w:p w:rsidR="00DE1B1F" w:rsidRPr="00DE1B1F" w:rsidRDefault="00DE1B1F" w:rsidP="00DE1B1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</w:pPr>
                </w:p>
                <w:p w:rsidR="00DE1B1F" w:rsidRPr="00DE1B1F" w:rsidRDefault="00DE1B1F" w:rsidP="00DE1B1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sz w:val="20"/>
                      <w:szCs w:val="20"/>
                      <w:lang w:eastAsia="tr-TR"/>
                    </w:rPr>
                  </w:pPr>
                  <w:r w:rsidRPr="00EA27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33C0B" w:themeColor="accent2" w:themeShade="80"/>
                      <w:lang w:eastAsia="tr-TR"/>
                    </w:rPr>
                    <w:t>(10)</w:t>
                  </w:r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 Bakanlık uluslararası emtia piyasalarındaki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>konjonktürel</w:t>
                  </w:r>
                  <w:proofErr w:type="spellEnd"/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 fiyat dalgalanmalarından dolayı bu oranları dönemsel veya </w:t>
                  </w:r>
                  <w:proofErr w:type="spellStart"/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>sektörel</w:t>
                  </w:r>
                  <w:proofErr w:type="spellEnd"/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 olarak </w:t>
                  </w:r>
                  <w:bookmarkStart w:id="3" w:name="_Hlk41636160"/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yükseltmeye </w:t>
                  </w:r>
                  <w:r w:rsidRPr="00EA27B2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highlight w:val="yellow"/>
                      <w:lang w:eastAsia="tr-TR"/>
                    </w:rPr>
                    <w:t>veya düşürmeye</w:t>
                  </w:r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 xml:space="preserve"> </w:t>
                  </w:r>
                  <w:bookmarkEnd w:id="3"/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lang w:eastAsia="tr-TR"/>
                    </w:rPr>
                    <w:t>yetkilidir. Bu durumda, bu Tebliğin 45 inci maddesinin dördüncü fıkrasının (b) bendinin tatbikinde, belirlenen yeni döviz kullanım oranı esas alınır</w:t>
                  </w:r>
                  <w:r w:rsidRPr="00DE1B1F">
                    <w:rPr>
                      <w:rFonts w:ascii="Times New Roman" w:eastAsia="Times New Roman" w:hAnsi="Times New Roman" w:cs="Times New Roman"/>
                      <w:i/>
                      <w:iCs/>
                      <w:color w:val="833C0B" w:themeColor="accent2" w:themeShade="80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DE1B1F" w:rsidRDefault="00DE1B1F" w:rsidP="00DE1B1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DE1B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54440E" w:rsidRPr="0054440E" w:rsidRDefault="0054440E" w:rsidP="0054440E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Style w:val="TabloKlavuzu"/>
                    <w:tblW w:w="8177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09"/>
                    <w:gridCol w:w="3912"/>
                  </w:tblGrid>
                  <w:tr w:rsidR="0054440E" w:rsidRPr="0054440E">
                    <w:trPr>
                      <w:jc w:val="center"/>
                    </w:trPr>
                    <w:tc>
                      <w:tcPr>
                        <w:tcW w:w="81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20/12/2006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26382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81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25/7/2007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26593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30/5/2008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26891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14/8/2008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26967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24/12/2008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27090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1/7/2009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27275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6/8/2009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27311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18/9/2009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27353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2/4/2010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27540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25/6/2010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27622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15/10/2010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27730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10/11/2010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27755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12/3/2011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27872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17/5/2011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27937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10/12/2011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28138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29/12/2011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28157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7/1/2013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28521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9/10/2013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28790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lastRenderedPageBreak/>
                          <w:t>18-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1/10/2014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29136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16/12/2014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29207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20/6/2015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29392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1/4/2016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29671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20/5/2016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29717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8/9/2016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29825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16/3/2017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30009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10/6/2017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30092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02/5/2018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30409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08/06/2018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30445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22/01/2019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30663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28/11/2019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30962</w:t>
                        </w:r>
                      </w:p>
                    </w:tc>
                  </w:tr>
                  <w:tr w:rsidR="0054440E" w:rsidRPr="0054440E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ind w:right="35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6/3/2020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440E" w:rsidRPr="0054440E" w:rsidRDefault="0054440E" w:rsidP="0054440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440E">
                          <w:rPr>
                            <w:sz w:val="18"/>
                            <w:szCs w:val="18"/>
                          </w:rPr>
                          <w:t>31060</w:t>
                        </w:r>
                      </w:p>
                    </w:tc>
                  </w:tr>
                </w:tbl>
                <w:p w:rsidR="0054440E" w:rsidRPr="0054440E" w:rsidRDefault="0054440E" w:rsidP="005444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4440E" w:rsidRPr="0054440E" w:rsidRDefault="0054440E" w:rsidP="005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4440E" w:rsidRPr="0054440E" w:rsidRDefault="0054440E" w:rsidP="0054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440E" w:rsidRDefault="0054440E"/>
    <w:sectPr w:rsidR="0054440E" w:rsidSect="00544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E"/>
    <w:rsid w:val="0054440E"/>
    <w:rsid w:val="00DE1B1F"/>
    <w:rsid w:val="00E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9D151"/>
  <w15:chartTrackingRefBased/>
  <w15:docId w15:val="{D3648D87-E0F8-464C-9299-633EA0E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54440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54440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54440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54440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54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3</cp:revision>
  <dcterms:created xsi:type="dcterms:W3CDTF">2020-05-29T05:23:00Z</dcterms:created>
  <dcterms:modified xsi:type="dcterms:W3CDTF">2020-05-29T06:19:00Z</dcterms:modified>
</cp:coreProperties>
</file>